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附件3</w:t>
      </w:r>
    </w:p>
    <w:p>
      <w:pPr>
        <w:widowControl/>
        <w:shd w:val="clear" w:color="auto" w:fill="FFFFFF"/>
        <w:rPr>
          <w:rFonts w:hint="eastAsia" w:ascii="宋体" w:hAnsi="宋体" w:eastAsia="宋体" w:cs="宋体"/>
          <w:color w:val="333333"/>
          <w:kern w:val="0"/>
          <w:sz w:val="24"/>
          <w:szCs w:val="24"/>
        </w:rPr>
      </w:pPr>
    </w:p>
    <w:p>
      <w:pPr>
        <w:widowControl/>
        <w:shd w:val="clear" w:color="auto" w:fill="FFFFFF"/>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36"/>
          <w:szCs w:val="36"/>
        </w:rPr>
        <w:t>政府网站工作年度报表（样表）</w:t>
      </w:r>
    </w:p>
    <w:p>
      <w:pPr>
        <w:widowControl/>
        <w:shd w:val="clear" w:color="auto" w:fill="FFFFFF"/>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22</w:t>
      </w:r>
      <w:r>
        <w:rPr>
          <w:rFonts w:hint="eastAsia" w:ascii="宋体" w:hAnsi="宋体" w:eastAsia="宋体" w:cs="宋体"/>
          <w:color w:val="333333"/>
          <w:kern w:val="0"/>
          <w:sz w:val="24"/>
          <w:szCs w:val="24"/>
        </w:rPr>
        <w:t>年度）</w:t>
      </w:r>
    </w:p>
    <w:p>
      <w:pPr>
        <w:widowControl/>
        <w:shd w:val="clear" w:color="auto" w:fill="FFFFFF"/>
        <w:ind w:firstLine="480"/>
        <w:rPr>
          <w:rFonts w:hint="eastAsia" w:ascii="宋体" w:hAnsi="宋体" w:eastAsia="宋体" w:cs="宋体"/>
          <w:color w:val="333333"/>
          <w:kern w:val="0"/>
          <w:sz w:val="24"/>
          <w:szCs w:val="24"/>
        </w:rPr>
      </w:pPr>
    </w:p>
    <w:p>
      <w:pPr>
        <w:widowControl/>
        <w:shd w:val="clear" w:color="auto" w:fill="FFFFFF"/>
        <w:ind w:firstLine="48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0"/>
          <w:szCs w:val="20"/>
        </w:rPr>
        <w:t>填报单位：</w:t>
      </w:r>
      <w:r>
        <w:rPr>
          <w:rFonts w:hint="eastAsia" w:ascii="宋体" w:hAnsi="宋体" w:eastAsia="宋体" w:cs="宋体"/>
          <w:color w:val="333333"/>
          <w:kern w:val="0"/>
          <w:sz w:val="20"/>
          <w:szCs w:val="20"/>
          <w:lang w:val="en-US" w:eastAsia="zh-CN"/>
        </w:rPr>
        <w:t>忻州市能源局</w:t>
      </w:r>
    </w:p>
    <w:tbl>
      <w:tblPr>
        <w:tblStyle w:val="2"/>
        <w:tblW w:w="9072" w:type="dxa"/>
        <w:jc w:val="center"/>
        <w:tblLayout w:type="autofit"/>
        <w:tblCellMar>
          <w:top w:w="0" w:type="dxa"/>
          <w:left w:w="0" w:type="dxa"/>
          <w:bottom w:w="0" w:type="dxa"/>
          <w:right w:w="0" w:type="dxa"/>
        </w:tblCellMar>
      </w:tblPr>
      <w:tblGrid>
        <w:gridCol w:w="2038"/>
        <w:gridCol w:w="2496"/>
        <w:gridCol w:w="2607"/>
        <w:gridCol w:w="1931"/>
      </w:tblGrid>
      <w:tr>
        <w:tblPrEx>
          <w:tblCellMar>
            <w:top w:w="0" w:type="dxa"/>
            <w:left w:w="0" w:type="dxa"/>
            <w:bottom w:w="0" w:type="dxa"/>
            <w:right w:w="0" w:type="dxa"/>
          </w:tblCellMar>
        </w:tblPrEx>
        <w:trPr>
          <w:jc w:val="center"/>
        </w:trPr>
        <w:tc>
          <w:tcPr>
            <w:tcW w:w="203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rPr>
            </w:pPr>
            <w:r>
              <w:rPr>
                <w:rFonts w:hint="eastAsia" w:ascii="宋体" w:hAnsi="宋体" w:eastAsia="宋体" w:cs="Calibri"/>
                <w:kern w:val="0"/>
                <w:sz w:val="20"/>
                <w:szCs w:val="20"/>
              </w:rPr>
              <w:t>网站名称</w:t>
            </w:r>
          </w:p>
        </w:tc>
        <w:tc>
          <w:tcPr>
            <w:tcW w:w="7034" w:type="dxa"/>
            <w:gridSpan w:val="3"/>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忻州市能源局网站</w:t>
            </w:r>
          </w:p>
        </w:tc>
      </w:tr>
      <w:tr>
        <w:tblPrEx>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首页网址</w:t>
            </w:r>
          </w:p>
        </w:tc>
        <w:tc>
          <w:tcPr>
            <w:tcW w:w="703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https://nyj.sxxz.gov.cn/</w:t>
            </w:r>
          </w:p>
        </w:tc>
      </w:tr>
      <w:tr>
        <w:tblPrEx>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主办单位</w:t>
            </w:r>
          </w:p>
        </w:tc>
        <w:tc>
          <w:tcPr>
            <w:tcW w:w="703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忻州市能源局</w:t>
            </w:r>
          </w:p>
        </w:tc>
      </w:tr>
      <w:tr>
        <w:tblPrEx>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网站类型</w:t>
            </w:r>
          </w:p>
        </w:tc>
        <w:tc>
          <w:tcPr>
            <w:tcW w:w="703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□政府门户网站　　　</w:t>
            </w:r>
            <w:r>
              <w:rPr>
                <w:rFonts w:hint="eastAsia" w:ascii="宋体" w:hAnsi="宋体" w:eastAsia="宋体" w:cs="Calibri"/>
                <w:kern w:val="0"/>
                <w:sz w:val="20"/>
                <w:szCs w:val="20"/>
                <w:lang w:eastAsia="zh-CN"/>
              </w:rPr>
              <w:t>☑</w:t>
            </w:r>
            <w:r>
              <w:rPr>
                <w:rFonts w:hint="eastAsia" w:ascii="宋体" w:hAnsi="宋体" w:eastAsia="宋体" w:cs="Calibri"/>
                <w:kern w:val="0"/>
                <w:sz w:val="20"/>
                <w:szCs w:val="20"/>
              </w:rPr>
              <w:t>部门网站　　　□专项网站</w:t>
            </w:r>
          </w:p>
        </w:tc>
      </w:tr>
      <w:tr>
        <w:tblPrEx>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政府网站标识码</w:t>
            </w:r>
          </w:p>
        </w:tc>
        <w:tc>
          <w:tcPr>
            <w:tcW w:w="703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1409000050</w:t>
            </w:r>
          </w:p>
        </w:tc>
      </w:tr>
      <w:tr>
        <w:tblPrEx>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ascii="Calibri" w:hAnsi="Calibri" w:eastAsia="宋体" w:cs="Calibri"/>
                <w:kern w:val="0"/>
                <w:sz w:val="20"/>
                <w:szCs w:val="20"/>
              </w:rPr>
              <w:t>ICP</w:t>
            </w:r>
            <w:r>
              <w:rPr>
                <w:rFonts w:hint="eastAsia" w:ascii="宋体" w:hAnsi="宋体" w:eastAsia="宋体" w:cs="Calibri"/>
                <w:kern w:val="0"/>
                <w:sz w:val="20"/>
                <w:szCs w:val="20"/>
              </w:rPr>
              <w:t>备案号</w:t>
            </w: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晋ICP备10001943号-1</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公安机关备案号</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晋公网安备 14090202000011号</w:t>
            </w:r>
          </w:p>
        </w:tc>
      </w:tr>
      <w:tr>
        <w:tblPrEx>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独立用户访问总量（单位：个）</w:t>
            </w:r>
          </w:p>
        </w:tc>
        <w:tc>
          <w:tcPr>
            <w:tcW w:w="703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134835</w:t>
            </w:r>
          </w:p>
        </w:tc>
      </w:tr>
      <w:tr>
        <w:tblPrEx>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网站总访问量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（单位：次）</w:t>
            </w:r>
          </w:p>
        </w:tc>
        <w:tc>
          <w:tcPr>
            <w:tcW w:w="703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158758</w:t>
            </w:r>
          </w:p>
        </w:tc>
      </w:tr>
      <w:tr>
        <w:tblPrEx>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信息发布</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（单位：条）</w:t>
            </w: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总数</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Calibri"/>
                <w:kern w:val="0"/>
                <w:szCs w:val="21"/>
                <w:lang w:val="en-US"/>
              </w:rPr>
            </w:pPr>
            <w:r>
              <w:rPr>
                <w:rFonts w:hint="eastAsia" w:ascii="Calibri" w:hAnsi="Calibri" w:eastAsia="宋体" w:cs="Calibri"/>
                <w:kern w:val="0"/>
                <w:sz w:val="20"/>
                <w:szCs w:val="20"/>
                <w:lang w:val="en-US" w:eastAsia="zh-CN"/>
              </w:rPr>
              <w:t>356</w:t>
            </w:r>
            <w:bookmarkStart w:id="0" w:name="_GoBack"/>
            <w:bookmarkEnd w:id="0"/>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概况类信息更新量</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政务动态信息更新量</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61</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信息公开目录信息更新量</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35</w:t>
            </w:r>
          </w:p>
        </w:tc>
      </w:tr>
      <w:tr>
        <w:tblPrEx>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专栏专题</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（单位：个）</w:t>
            </w: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维护数量</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3</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新开设数量</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val="en-US" w:eastAsia="zh-CN"/>
              </w:rPr>
            </w:pPr>
            <w:r>
              <w:rPr>
                <w:rFonts w:hint="eastAsia" w:ascii="Calibri" w:hAnsi="Calibri" w:eastAsia="宋体" w:cs="Calibri"/>
                <w:kern w:val="0"/>
                <w:szCs w:val="21"/>
                <w:lang w:val="en-US" w:eastAsia="zh-CN"/>
              </w:rPr>
              <w:t>3</w:t>
            </w:r>
          </w:p>
        </w:tc>
      </w:tr>
      <w:tr>
        <w:tblPrEx>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解读回应</w:t>
            </w:r>
          </w:p>
        </w:tc>
        <w:tc>
          <w:tcPr>
            <w:tcW w:w="2496"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解读信息发布</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总数</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（单位：条）</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8</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解读材料数量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（单位：条）</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8</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解读产品数量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（单位：个）</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媒体评论文章数量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（单位：篇）</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回应公众关注热点或</w:t>
            </w:r>
          </w:p>
          <w:p>
            <w:pPr>
              <w:widowControl/>
              <w:jc w:val="center"/>
              <w:rPr>
                <w:rFonts w:ascii="Calibri" w:hAnsi="Calibri" w:eastAsia="宋体" w:cs="Calibri"/>
                <w:kern w:val="0"/>
                <w:szCs w:val="21"/>
              </w:rPr>
            </w:pPr>
            <w:r>
              <w:rPr>
                <w:rFonts w:hint="eastAsia" w:ascii="宋体" w:hAnsi="宋体" w:eastAsia="宋体" w:cs="Calibri"/>
                <w:kern w:val="0"/>
                <w:sz w:val="20"/>
                <w:szCs w:val="20"/>
              </w:rPr>
              <w:t>重大舆情数量（单位：次）</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办事服务</w:t>
            </w: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是否发布服务事项目录</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lang w:eastAsia="zh-CN"/>
              </w:rPr>
              <w:t>☑</w:t>
            </w:r>
            <w:r>
              <w:rPr>
                <w:rFonts w:hint="eastAsia" w:ascii="宋体" w:hAnsi="宋体" w:eastAsia="宋体" w:cs="Calibri"/>
                <w:kern w:val="0"/>
                <w:sz w:val="20"/>
                <w:szCs w:val="20"/>
              </w:rPr>
              <w:t>是　　　□否</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注册用户数</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（单位：个）</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29600257</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政务服务事项数量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（单位：项）</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1114</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可全程在线办理政务服务事项数量（单位：项）</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1106</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办件量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（单位：件）</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总数</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267502</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自然人办件量</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235751</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法人办件量</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31751</w:t>
            </w:r>
          </w:p>
        </w:tc>
      </w:tr>
      <w:tr>
        <w:tblPrEx>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互动交流</w:t>
            </w: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是否使用统一平台</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□是　　　□否</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留言办理</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收到留言数量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（单位：条）</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13</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办结留言数量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（单位：条）</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13</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平均办理时间</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（单位：天）</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2</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公开答复数量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（单位：条）</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13</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征集调查</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征集调查期数</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（单位：期）</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收到意见数量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（单位：条）</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公布调查结果期数</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（单位：期）</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在线访谈</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访谈期数</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（单位：期）</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网民留言数量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（单位：条）</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答复网民提问数量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（单位：条）</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是否提供智能问答</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□是　　　</w:t>
            </w:r>
            <w:r>
              <w:rPr>
                <w:rFonts w:hint="eastAsia" w:ascii="宋体" w:hAnsi="宋体" w:eastAsia="宋体" w:cs="Calibri"/>
                <w:kern w:val="0"/>
                <w:sz w:val="20"/>
                <w:szCs w:val="20"/>
                <w:lang w:eastAsia="zh-CN"/>
              </w:rPr>
              <w:t>☑</w:t>
            </w:r>
            <w:r>
              <w:rPr>
                <w:rFonts w:hint="eastAsia" w:ascii="宋体" w:hAnsi="宋体" w:eastAsia="宋体" w:cs="Calibri"/>
                <w:kern w:val="0"/>
                <w:sz w:val="20"/>
                <w:szCs w:val="20"/>
              </w:rPr>
              <w:t>否</w:t>
            </w:r>
          </w:p>
        </w:tc>
      </w:tr>
      <w:tr>
        <w:tblPrEx>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安全防护</w:t>
            </w: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安全检测评估次数</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（单位：次）</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发现问题数量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（单位：个）</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问题整改数量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（单位：个）</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是否建立安全监测预警机制</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□是　　　</w:t>
            </w:r>
            <w:r>
              <w:rPr>
                <w:rFonts w:hint="eastAsia" w:ascii="宋体" w:hAnsi="宋体" w:eastAsia="宋体" w:cs="Calibri"/>
                <w:kern w:val="0"/>
                <w:sz w:val="20"/>
                <w:szCs w:val="20"/>
                <w:lang w:eastAsia="zh-CN"/>
              </w:rPr>
              <w:t>☑</w:t>
            </w:r>
            <w:r>
              <w:rPr>
                <w:rFonts w:hint="eastAsia" w:ascii="宋体" w:hAnsi="宋体" w:eastAsia="宋体" w:cs="Calibri"/>
                <w:kern w:val="0"/>
                <w:sz w:val="20"/>
                <w:szCs w:val="20"/>
              </w:rPr>
              <w:t>否</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是否开展应急演练</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□是　　　</w:t>
            </w:r>
            <w:r>
              <w:rPr>
                <w:rFonts w:hint="eastAsia" w:ascii="宋体" w:hAnsi="宋体" w:eastAsia="宋体" w:cs="Calibri"/>
                <w:kern w:val="0"/>
                <w:sz w:val="20"/>
                <w:szCs w:val="20"/>
                <w:lang w:eastAsia="zh-CN"/>
              </w:rPr>
              <w:t>☑</w:t>
            </w:r>
            <w:r>
              <w:rPr>
                <w:rFonts w:hint="eastAsia" w:ascii="宋体" w:hAnsi="宋体" w:eastAsia="宋体" w:cs="Calibri"/>
                <w:kern w:val="0"/>
                <w:sz w:val="20"/>
                <w:szCs w:val="20"/>
              </w:rPr>
              <w:t>否</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是否明确网站安全责任人</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lang w:eastAsia="zh-CN"/>
              </w:rPr>
              <w:t>☑</w:t>
            </w:r>
            <w:r>
              <w:rPr>
                <w:rFonts w:hint="eastAsia" w:ascii="宋体" w:hAnsi="宋体" w:eastAsia="宋体" w:cs="Calibri"/>
                <w:kern w:val="0"/>
                <w:sz w:val="20"/>
                <w:szCs w:val="20"/>
              </w:rPr>
              <w:t>是　　　□否</w:t>
            </w:r>
          </w:p>
        </w:tc>
      </w:tr>
      <w:tr>
        <w:tblPrEx>
          <w:tblCellMar>
            <w:top w:w="0" w:type="dxa"/>
            <w:left w:w="0" w:type="dxa"/>
            <w:bottom w:w="0" w:type="dxa"/>
            <w:right w:w="0" w:type="dxa"/>
          </w:tblCellMar>
        </w:tblPrEx>
        <w:trPr>
          <w:jc w:val="center"/>
        </w:trPr>
        <w:tc>
          <w:tcPr>
            <w:tcW w:w="2038" w:type="dxa"/>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移动新媒体</w:t>
            </w: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是否有移动新媒体</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lang w:eastAsia="zh-CN"/>
              </w:rPr>
              <w:t>☑</w:t>
            </w:r>
            <w:r>
              <w:rPr>
                <w:rFonts w:hint="eastAsia" w:ascii="宋体" w:hAnsi="宋体" w:eastAsia="宋体" w:cs="Calibri"/>
                <w:kern w:val="0"/>
                <w:sz w:val="20"/>
                <w:szCs w:val="20"/>
              </w:rPr>
              <w:t>是　　　□否</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微博</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名称</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default" w:ascii="Calibri" w:hAnsi="Calibri" w:eastAsia="宋体" w:cs="Calibri"/>
                <w:kern w:val="0"/>
                <w:szCs w:val="21"/>
                <w:lang w:val="en-US" w:eastAsia="zh-CN"/>
              </w:rPr>
            </w:pPr>
            <w:r>
              <w:rPr>
                <w:rFonts w:hint="eastAsia" w:ascii="Calibri" w:hAnsi="Calibri" w:eastAsia="宋体" w:cs="Calibri"/>
                <w:kern w:val="0"/>
                <w:szCs w:val="21"/>
                <w:lang w:val="en-US" w:eastAsia="zh-CN"/>
              </w:rPr>
              <w:t>无</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信息发布量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（单位：条）</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关注量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（单位：个）</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Cs w:val="21"/>
                <w:lang w:eastAsia="zh-CN"/>
              </w:rPr>
            </w:pPr>
            <w:r>
              <w:rPr>
                <w:rFonts w:hint="eastAsia" w:ascii="Calibri" w:hAnsi="Calibri" w:eastAsia="宋体" w:cs="Calibri"/>
                <w:kern w:val="0"/>
                <w:sz w:val="20"/>
                <w:szCs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微信</w:t>
            </w: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名称</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忻州能源网</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信息发布量</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（单位：条）</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451</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0" w:type="auto"/>
            <w:vMerge w:val="continue"/>
            <w:tcBorders>
              <w:top w:val="nil"/>
              <w:left w:val="nil"/>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60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订阅数</w:t>
            </w:r>
          </w:p>
          <w:p>
            <w:pPr>
              <w:widowControl/>
              <w:jc w:val="center"/>
              <w:rPr>
                <w:rFonts w:ascii="Calibri" w:hAnsi="Calibri" w:eastAsia="宋体" w:cs="Calibri"/>
                <w:kern w:val="0"/>
                <w:szCs w:val="21"/>
              </w:rPr>
            </w:pPr>
            <w:r>
              <w:rPr>
                <w:rFonts w:hint="eastAsia" w:ascii="宋体" w:hAnsi="宋体" w:eastAsia="宋体" w:cs="Calibri"/>
                <w:kern w:val="0"/>
                <w:sz w:val="20"/>
                <w:szCs w:val="20"/>
              </w:rPr>
              <w:t>（单位：个）</w:t>
            </w:r>
          </w:p>
        </w:tc>
        <w:tc>
          <w:tcPr>
            <w:tcW w:w="193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310</w:t>
            </w:r>
          </w:p>
        </w:tc>
      </w:tr>
      <w:tr>
        <w:tblPrEx>
          <w:tblCellMar>
            <w:top w:w="0" w:type="dxa"/>
            <w:left w:w="0" w:type="dxa"/>
            <w:bottom w:w="0" w:type="dxa"/>
            <w:right w:w="0" w:type="dxa"/>
          </w:tblCellMar>
        </w:tblPrEx>
        <w:trPr>
          <w:jc w:val="center"/>
        </w:trPr>
        <w:tc>
          <w:tcPr>
            <w:tcW w:w="0" w:type="auto"/>
            <w:vMerge w:val="continue"/>
            <w:tcBorders>
              <w:top w:val="nil"/>
              <w:left w:val="single" w:color="000000" w:sz="8" w:space="0"/>
              <w:bottom w:val="single" w:color="000000" w:sz="8" w:space="0"/>
              <w:right w:val="single" w:color="000000" w:sz="8" w:space="0"/>
            </w:tcBorders>
            <w:vAlign w:val="center"/>
          </w:tcPr>
          <w:p>
            <w:pPr>
              <w:widowControl/>
              <w:jc w:val="left"/>
              <w:rPr>
                <w:rFonts w:ascii="Calibri" w:hAnsi="Calibri" w:eastAsia="宋体" w:cs="Calibri"/>
                <w:kern w:val="0"/>
                <w:szCs w:val="21"/>
              </w:rPr>
            </w:pPr>
          </w:p>
        </w:tc>
        <w:tc>
          <w:tcPr>
            <w:tcW w:w="24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其他</w:t>
            </w:r>
          </w:p>
        </w:tc>
        <w:tc>
          <w:tcPr>
            <w:tcW w:w="4538" w:type="dxa"/>
            <w:gridSpan w:val="2"/>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Calibri" w:hAnsi="Calibri" w:eastAsia="宋体" w:cs="Calibri"/>
                <w:kern w:val="0"/>
                <w:sz w:val="20"/>
                <w:szCs w:val="20"/>
              </w:rPr>
              <w:t>无</w:t>
            </w:r>
          </w:p>
        </w:tc>
      </w:tr>
      <w:tr>
        <w:tblPrEx>
          <w:tblCellMar>
            <w:top w:w="0" w:type="dxa"/>
            <w:left w:w="0" w:type="dxa"/>
            <w:bottom w:w="0" w:type="dxa"/>
            <w:right w:w="0" w:type="dxa"/>
          </w:tblCellMar>
        </w:tblPrEx>
        <w:trPr>
          <w:jc w:val="center"/>
        </w:trPr>
        <w:tc>
          <w:tcPr>
            <w:tcW w:w="203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ascii="Calibri" w:hAnsi="Calibri" w:eastAsia="宋体" w:cs="Calibri"/>
                <w:kern w:val="0"/>
                <w:szCs w:val="21"/>
              </w:rPr>
            </w:pPr>
            <w:r>
              <w:rPr>
                <w:rFonts w:hint="eastAsia" w:ascii="宋体" w:hAnsi="宋体" w:eastAsia="宋体" w:cs="Calibri"/>
                <w:kern w:val="0"/>
                <w:sz w:val="20"/>
                <w:szCs w:val="20"/>
              </w:rPr>
              <w:t>创新发展</w:t>
            </w:r>
          </w:p>
        </w:tc>
        <w:tc>
          <w:tcPr>
            <w:tcW w:w="7034" w:type="dxa"/>
            <w:gridSpan w:val="3"/>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ind w:firstLine="200"/>
              <w:rPr>
                <w:rFonts w:ascii="Calibri" w:hAnsi="Calibri" w:eastAsia="宋体" w:cs="Calibri"/>
                <w:kern w:val="0"/>
                <w:szCs w:val="21"/>
              </w:rPr>
            </w:pPr>
            <w:r>
              <w:rPr>
                <w:rFonts w:hint="eastAsia" w:ascii="宋体" w:hAnsi="宋体" w:eastAsia="宋体" w:cs="Calibri"/>
                <w:kern w:val="0"/>
                <w:sz w:val="20"/>
                <w:szCs w:val="20"/>
              </w:rPr>
              <w:t>□搜索即服务　　　□多语言版本　　　□无障碍浏览　　　□千人千网</w:t>
            </w:r>
          </w:p>
          <w:p>
            <w:pPr>
              <w:widowControl/>
              <w:ind w:firstLine="200"/>
              <w:jc w:val="left"/>
              <w:rPr>
                <w:rFonts w:ascii="Calibri" w:hAnsi="Calibri" w:eastAsia="宋体" w:cs="Calibri"/>
                <w:kern w:val="0"/>
                <w:szCs w:val="21"/>
              </w:rPr>
            </w:pPr>
            <w:r>
              <w:rPr>
                <w:rFonts w:hint="eastAsia" w:ascii="宋体" w:hAnsi="宋体" w:eastAsia="宋体" w:cs="Calibri"/>
                <w:kern w:val="0"/>
                <w:sz w:val="20"/>
                <w:szCs w:val="20"/>
              </w:rPr>
              <w:t>□其他</w:t>
            </w:r>
            <w:r>
              <w:rPr>
                <w:rFonts w:ascii="Calibri" w:hAnsi="Calibri" w:eastAsia="宋体" w:cs="Calibri"/>
                <w:kern w:val="0"/>
                <w:sz w:val="20"/>
                <w:szCs w:val="20"/>
              </w:rPr>
              <w:t>______</w:t>
            </w:r>
            <w:r>
              <w:rPr>
                <w:rFonts w:hint="eastAsia" w:ascii="Calibri" w:hAnsi="Calibri" w:eastAsia="宋体" w:cs="Calibri"/>
                <w:kern w:val="0"/>
                <w:sz w:val="20"/>
                <w:szCs w:val="20"/>
              </w:rPr>
              <w:t>无</w:t>
            </w:r>
            <w:r>
              <w:rPr>
                <w:rFonts w:ascii="Calibri" w:hAnsi="Calibri" w:eastAsia="宋体" w:cs="Calibri"/>
                <w:kern w:val="0"/>
                <w:sz w:val="20"/>
                <w:szCs w:val="20"/>
              </w:rPr>
              <w:t>____________________________</w:t>
            </w:r>
          </w:p>
        </w:tc>
      </w:tr>
    </w:tbl>
    <w:p>
      <w:pPr>
        <w:widowControl/>
        <w:shd w:val="clear" w:color="auto" w:fill="FFFFFF"/>
        <w:ind w:firstLine="480"/>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0"/>
          <w:szCs w:val="20"/>
        </w:rPr>
        <w:t>单位负责人：</w:t>
      </w:r>
      <w:r>
        <w:rPr>
          <w:rFonts w:hint="eastAsia" w:ascii="宋体" w:hAnsi="宋体" w:eastAsia="宋体" w:cs="宋体"/>
          <w:color w:val="333333"/>
          <w:kern w:val="0"/>
          <w:sz w:val="24"/>
          <w:szCs w:val="24"/>
          <w:lang w:val="en-US" w:eastAsia="zh-CN"/>
        </w:rPr>
        <w:t xml:space="preserve">郭建平  </w:t>
      </w:r>
      <w:r>
        <w:rPr>
          <w:rFonts w:hint="eastAsia" w:ascii="宋体" w:hAnsi="宋体" w:eastAsia="宋体" w:cs="宋体"/>
          <w:color w:val="333333"/>
          <w:kern w:val="0"/>
          <w:sz w:val="20"/>
          <w:szCs w:val="20"/>
        </w:rPr>
        <w:t>审核人：</w:t>
      </w:r>
      <w:r>
        <w:rPr>
          <w:rFonts w:hint="eastAsia" w:ascii="宋体" w:hAnsi="宋体" w:eastAsia="宋体" w:cs="宋体"/>
          <w:color w:val="333333"/>
          <w:kern w:val="0"/>
          <w:sz w:val="24"/>
          <w:szCs w:val="24"/>
          <w:lang w:val="en-US" w:eastAsia="zh-CN"/>
        </w:rPr>
        <w:t xml:space="preserve">刘建政  </w:t>
      </w:r>
      <w:r>
        <w:rPr>
          <w:rFonts w:hint="eastAsia" w:ascii="宋体" w:hAnsi="宋体" w:eastAsia="宋体" w:cs="宋体"/>
          <w:color w:val="333333"/>
          <w:kern w:val="0"/>
          <w:sz w:val="20"/>
          <w:szCs w:val="20"/>
        </w:rPr>
        <w:t>填报人：联系电话：</w:t>
      </w:r>
      <w:r>
        <w:rPr>
          <w:rFonts w:hint="eastAsia" w:ascii="宋体" w:hAnsi="宋体" w:eastAsia="宋体" w:cs="宋体"/>
          <w:color w:val="333333"/>
          <w:kern w:val="0"/>
          <w:sz w:val="24"/>
          <w:szCs w:val="24"/>
          <w:lang w:val="en-US" w:eastAsia="zh-CN"/>
        </w:rPr>
        <w:t>18636033988</w:t>
      </w:r>
      <w:r>
        <w:rPr>
          <w:rFonts w:hint="eastAsia" w:ascii="宋体" w:hAnsi="宋体" w:eastAsia="宋体" w:cs="宋体"/>
          <w:color w:val="333333"/>
          <w:kern w:val="0"/>
          <w:sz w:val="20"/>
          <w:szCs w:val="20"/>
        </w:rPr>
        <w:t>填报日期：</w:t>
      </w:r>
      <w:r>
        <w:rPr>
          <w:rFonts w:hint="eastAsia" w:ascii="宋体" w:hAnsi="宋体" w:eastAsia="宋体" w:cs="宋体"/>
          <w:color w:val="333333"/>
          <w:kern w:val="0"/>
          <w:sz w:val="20"/>
          <w:szCs w:val="20"/>
          <w:lang w:val="en-US" w:eastAsia="zh-CN"/>
        </w:rPr>
        <w:t>2023年1月9日</w:t>
      </w:r>
    </w:p>
    <w:p>
      <w:pPr>
        <w:widowControl/>
        <w:shd w:val="clear" w:color="auto" w:fill="FFFFFF"/>
        <w:ind w:firstLine="480"/>
        <w:rPr>
          <w:rFonts w:hint="eastAsia" w:ascii="宋体" w:hAnsi="宋体" w:eastAsia="宋体" w:cs="宋体"/>
          <w:color w:val="333333"/>
          <w:kern w:val="0"/>
          <w:sz w:val="24"/>
          <w:szCs w:val="24"/>
        </w:rPr>
      </w:pPr>
    </w:p>
    <w:p>
      <w:pPr>
        <w:widowControl/>
        <w:shd w:val="clear" w:color="auto" w:fill="FFFFFF"/>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附件4</w:t>
      </w:r>
    </w:p>
    <w:p>
      <w:pPr>
        <w:widowControl/>
        <w:shd w:val="clear" w:color="auto" w:fill="FFFFFF"/>
        <w:rPr>
          <w:rFonts w:hint="eastAsia" w:ascii="宋体" w:hAnsi="宋体" w:eastAsia="宋体" w:cs="宋体"/>
          <w:color w:val="333333"/>
          <w:kern w:val="0"/>
          <w:sz w:val="24"/>
          <w:szCs w:val="24"/>
        </w:rPr>
      </w:pPr>
    </w:p>
    <w:p>
      <w:pPr>
        <w:widowControl/>
        <w:shd w:val="clear" w:color="auto" w:fill="FFFFFF"/>
        <w:jc w:val="center"/>
        <w:rPr>
          <w:rFonts w:hint="eastAsia" w:ascii="宋体" w:hAnsi="宋体" w:eastAsia="宋体" w:cs="宋体"/>
          <w:color w:val="333333"/>
          <w:kern w:val="0"/>
          <w:sz w:val="24"/>
          <w:szCs w:val="24"/>
        </w:rPr>
      </w:pPr>
      <w:r>
        <w:rPr>
          <w:rFonts w:hint="eastAsia" w:ascii="宋体" w:hAnsi="宋体" w:eastAsia="宋体" w:cs="宋体"/>
          <w:b/>
          <w:bCs/>
          <w:color w:val="333333"/>
          <w:kern w:val="0"/>
          <w:sz w:val="36"/>
          <w:szCs w:val="36"/>
        </w:rPr>
        <w:t>政府网站工作年度报表填写说明</w:t>
      </w:r>
    </w:p>
    <w:p>
      <w:pPr>
        <w:widowControl/>
        <w:shd w:val="clear" w:color="auto" w:fill="FFFFFF"/>
        <w:ind w:firstLine="480"/>
        <w:rPr>
          <w:rFonts w:hint="eastAsia" w:ascii="宋体" w:hAnsi="宋体" w:eastAsia="宋体" w:cs="宋体"/>
          <w:color w:val="333333"/>
          <w:kern w:val="0"/>
          <w:sz w:val="24"/>
          <w:szCs w:val="24"/>
        </w:rPr>
      </w:pP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一、基本信息</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1.网站名称：请填写网站的中文名称。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2.首页网址：请填写网站首页页面地址。例如，北京市人民政府门户网站填写“http://www.beijing.gov.cn”。</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3.主办单位：请填写网站的主办单位全称。例如，北京市人民政府门户网站填写“北京市人民政府办公厅”。</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4.网站类型：请按照网站类型勾选“政府门户网站”、“部门网站”或“专项网站”。</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5.政府网站标识码：请填写在“全国政府网站信息报送系统”中获取的政府网站标识码。例如，北京市人民政府门户网站填写“1100000088”。</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6.ICP备案号：请填写网站对应的ICP备案编号。例如，北京市人民政府门户网站填写“京ICP备05060933”。</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7.公安机关备案号：请填写网站在公安机关的备案号。例如，北京市人民政府门户网站填写“京公网安备110105000722”。</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8.独立用户访问总量：请填写本年度访问网站的用户总数（UV），同一用户每日多次访问不重复计算，只计一次。</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9.网站总访问量：请填写本年度网站的总点击次数（PV），同一用户对同一页面多次访问重复计算。</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二、信息发布</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1.总数：请填写本年度网站发布信息的总条数，不包括外链信息。</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2.概况类信息更新量：请填写本年度网站发布经济、社会、历史、地理、人文、行政区划等介绍性信息，机构设置、主要职责和联系方式等机构职能信息，本地区、本部门、本机构负责人信息的总条数。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3.政务动态信息更新量：请填写本年度网站发布本地区、本部门政务要闻、通知公告、工作动态等需要社会公众广泛知晓的政务动态信息的总条数。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4.信息公开目录信息更新量：请填写本年度网站政府信息公开目录中发布信息的总条数。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三、专栏专题</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1.维护数量：请填写网站维护的本年度有信息更新的专栏专题总个数。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2.新开设数量：请填写本年度网站新开设的专栏专题个数。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四、解读回应</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1.解读信息发布</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（1）总数：请填写本年度网站发布或转载的对政策文件的解读材料、解读产品、媒体评论文章的总数，不包括外链信息。</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（2）解读材料数量：请填写本年度网站发布或转载的对政策文件的解读材料（以文字解读为主）的总条数，不包括外链信息。</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（3）解读产品数量：请填写本年度网站发布或转载的对政策文件的解读产品的总个数，不包括外链信息。解读产品指运用数字化、图表图解、音频、视频、动漫等方式制作的解读材料。</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（4）媒体评论文章数量：请填写本年度网站发布或转载的关于政策文件的媒体评论文章的总篇数，不包括外链信息。</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2.回应公众关注热点或重大舆情数量：请填写本年度网站发布的回应公众关注热点或重大舆情的次数。以多种形式回应同一热点或舆情的不重复计算，只计一次。</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五、办事服务</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1.是否发布服务事项目录：是否在网站发布本单位政务服务事项目录，请勾选“是”或“否”。</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2.注册用户数：请填写截至本年度12月底网站的注册用户数。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3.政务服务事项数量：请填写网站提供的本单位政务服务事项总项数。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4.可全程在线办理政务服务事项数量：请填写网站提供的本单位可全程网上办理的政务服务事项总项数。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5.办件量</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（1）总数：请填写本年度本单位针对可在线预约、在线申报、在线查询、在线办理的办事服务事项，已办结的用户申请总件数。同一用户办理同一事项的不同环节不重复计算，只计一次。</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（2）自然人办件量：请填写本年度本单位针对可在线预约、在线申报、在线查询、在线办理的办事服务事项，已办结的自然人申请总件数。同一自然人用户办理同一事项的不同环节不重复计算，只计一次。</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（3）法人办件量：请填写本年度本单位针对可在线预约、在线申报、在线查询、在线办理的办事服务事项，已办结的法人申请总件数。同一法人用户办理同一事项的不同环节不重复计算，只计一次。</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六、互动交流</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1.是否使用统一平台：网站的留言评论、征集调查、咨询投诉、在线访谈等互动交流栏目是否使用统一的互动交流平台，请勾选“是”或“否”。网站如使用其他网站提供的统一的互动交流平台，则勾选“是”。</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2.留言办理</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（1）收到留言数量：请填写本年度通过网站开设的咨询投诉、反映问题等互动交流栏目收集到的网民留言总条数。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（2）办结留言数量：请填写本年度网站办结的网民留言总条数。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（3）平均办理时间：请填写本年度网站网民留言从收到到办结的平均办理天数。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（4）公开答复数量：请填写本年度网站公开网民留言及留言答复情况的留言总条数。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3.征集调查</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（1）征集调查期数：请填写本年度网站发布的面向公众或有关单位的征集调查的总期数。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（2）收到意见数量：请填写本年度网站通过征集调查收到的意见总条数。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（3）公布调查结果期数：请填写本年度已公布结果的征集调查的总期数。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4.在线访谈</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（1）访谈期数：请填写本年度网站单独举办或与主流媒体等其他机构合作举办，并可通过政府网站观看的在线访谈的总期数。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（2）网民留言数量：请填写本年度通过在线访谈收到的网民留言的总条数。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（3）答复网民提问数量：请填写本年度通过在线访谈答复网民提问的总条数。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5.是否提供智能问答：网站是否提供通过自然语言处理等相关技术自动解答用户咨询的智能问答功能，请勾选“是”或“否”。</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七、安全防护</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1.安全检测评估次数：请填写本年度对网站开展安全检测评估的总次数。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2.发现问题数量：请填写本年度安全检测评估中发现并确认的安全问题总个数。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3.问题整改数量：请填写本年度网站整改到位的安全问题总个数。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4.是否建立安全监测预警机制：网站是否已建立安全监测预警机制，请勾选“是”或“否”。</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5.是否开展应急演练：本年度网站是否开展网络安全应急演练，请勾选“是”或“否”。</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6.是否明确网站安全责任人：网站是否明确网站安全责任人，请勾选“是”或“否”。</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八、移动新媒体</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1.是否有移动新媒体：网站主办单位是否保障移动新媒体，请勾选“是”或“否”。如勾选“是”，请填写“微博”、“微信”、“其他”项目。</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2.微博</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名称：请填写主要由网站主办单位保障的微博账号的名称。如，北京市公安局公安交通管理局填写“北京交警”。在多个平台开设微博账号或在一个平台开设多个微博账号的，仅填写网民关注数量最多的微博账号名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（2）信息发布量：请填写本年度微博账号发布信息总条数，包括转载的信息，不包括对其他账号发布内容的评论信息。</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（3）关注量：请填写微博账号的网民关注数量。</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3.微信</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（1）名称：请填写主要由网站主办单位保障的微信公众账号的名称。如，北京市公安局公安交通管理局填写“北京交警”。开设多个微信公众账号的，仅填写网民订阅数量最多的微信公众账号名称。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（2）信息发布量：请填写本年度微信公众账号发布信息总条数。</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（3）订阅数：请填写微信公众账号的网民订阅数量。</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4.其他</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请填写由网站主办单位保障的其他新媒体产品，如发布的移动客户端等，包括产品类型、平台名称、产品名称、信息发布量、用户关注量/下载量等内容。</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九、创新发展</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本项为多选，请根据实际情况勾选对应选项。如勾选“其他”，请在横线上注明具体内容，字数不超过200字。</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“搜索即服务”指网站搜索提供错别字自动纠正、关键词推荐、拼音转化搜索和通俗语言搜索等功能，根据用户真实需求调整搜索结果排序，提供多维度分类展现，聚合相关信息和服务。</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“多语言版本”指根据用户群体特点和需求，提供多语言服务。</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“无障碍浏览”指为方便残疾人、老年人等特殊群体获取网站信息，提供无障碍浏览服务。</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“千人千网”指以用户为中心，打造个人和企业专属主页，提供个性化、便捷化、智能化服务。</w:t>
      </w:r>
    </w:p>
    <w:p>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“其他”指在个性化服务、开放式架构、大数据支撑、多渠道拓展等方面提供的创新功能或服务。</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EE"/>
    <w:rsid w:val="004912EE"/>
    <w:rsid w:val="00561813"/>
    <w:rsid w:val="1A560FC3"/>
    <w:rsid w:val="1EC6525A"/>
    <w:rsid w:val="79BA3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645</Words>
  <Characters>3678</Characters>
  <Lines>30</Lines>
  <Paragraphs>8</Paragraphs>
  <TotalTime>29</TotalTime>
  <ScaleCrop>false</ScaleCrop>
  <LinksUpToDate>false</LinksUpToDate>
  <CharactersWithSpaces>4315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2023-01-06T02:23:00Z</dcterms:created>
  <dc:creator>张 琳</dc:creator>
  <cp:lastModifiedBy>lili</cp:lastModifiedBy>
  <cp:lastPrinted>2023-01-09T08:48:00Z</cp:lastPrinted>
  <dcterms:modified xsi:type="dcterms:W3CDTF">2023-05-15T02:43:54Z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